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B447E" w14:textId="77777777" w:rsidR="005230F3" w:rsidRDefault="00233439">
      <w:pPr>
        <w:rPr>
          <w:rFonts w:asciiTheme="minorEastAsia" w:hAnsiTheme="minorEastAsia"/>
          <w:sz w:val="36"/>
          <w:szCs w:val="36"/>
        </w:rPr>
      </w:pPr>
      <w:r>
        <w:rPr>
          <w:rFonts w:asciiTheme="minorEastAsia" w:hAnsiTheme="minorEastAsia"/>
          <w:sz w:val="36"/>
          <w:szCs w:val="36"/>
        </w:rPr>
        <w:t>附件：淄博市</w:t>
      </w:r>
      <w:r>
        <w:rPr>
          <w:rFonts w:asciiTheme="minorEastAsia" w:hAnsiTheme="minorEastAsia" w:hint="eastAsia"/>
          <w:sz w:val="36"/>
          <w:szCs w:val="36"/>
        </w:rPr>
        <w:t>传染病医院</w:t>
      </w:r>
      <w:r>
        <w:rPr>
          <w:rFonts w:asciiTheme="minorEastAsia" w:hAnsiTheme="minorEastAsia"/>
          <w:sz w:val="36"/>
          <w:szCs w:val="36"/>
        </w:rPr>
        <w:t>污水处理设施提升改造项目</w:t>
      </w:r>
      <w:r>
        <w:rPr>
          <w:rFonts w:asciiTheme="minorEastAsia" w:hAnsiTheme="minorEastAsia" w:hint="eastAsia"/>
          <w:sz w:val="36"/>
          <w:szCs w:val="36"/>
        </w:rPr>
        <w:t>谈判</w:t>
      </w:r>
      <w:r>
        <w:rPr>
          <w:rFonts w:asciiTheme="minorEastAsia" w:hAnsiTheme="minorEastAsia"/>
          <w:sz w:val="36"/>
          <w:szCs w:val="36"/>
        </w:rPr>
        <w:t>文件</w:t>
      </w:r>
    </w:p>
    <w:p w14:paraId="38FFBEC9" w14:textId="77777777" w:rsidR="005230F3" w:rsidRDefault="00233439">
      <w:pPr>
        <w:jc w:val="center"/>
        <w:rPr>
          <w:rFonts w:asciiTheme="minorEastAsia" w:hAnsiTheme="minorEastAsia"/>
          <w:b/>
          <w:sz w:val="36"/>
          <w:szCs w:val="36"/>
        </w:rPr>
      </w:pPr>
      <w:r>
        <w:rPr>
          <w:rFonts w:asciiTheme="minorEastAsia" w:hAnsiTheme="minorEastAsia"/>
          <w:b/>
          <w:sz w:val="36"/>
          <w:szCs w:val="36"/>
        </w:rPr>
        <w:t>工程设计依据</w:t>
      </w:r>
      <w:r>
        <w:rPr>
          <w:rFonts w:asciiTheme="minorEastAsia" w:hAnsiTheme="minorEastAsia" w:hint="eastAsia"/>
          <w:b/>
          <w:sz w:val="36"/>
          <w:szCs w:val="36"/>
        </w:rPr>
        <w:t>、原则和范围</w:t>
      </w:r>
    </w:p>
    <w:p w14:paraId="7C5FD4D9" w14:textId="77777777" w:rsidR="005230F3" w:rsidRDefault="00233439">
      <w:pPr>
        <w:pStyle w:val="2"/>
        <w:spacing w:before="100" w:beforeAutospacing="1" w:after="0" w:line="360" w:lineRule="auto"/>
        <w:rPr>
          <w:rFonts w:asciiTheme="minorEastAsia" w:eastAsiaTheme="minorEastAsia" w:hAnsiTheme="minorEastAsia"/>
          <w:bCs w:val="0"/>
          <w:sz w:val="36"/>
          <w:szCs w:val="36"/>
        </w:rPr>
      </w:pPr>
      <w:bookmarkStart w:id="0" w:name="_Toc77229772"/>
      <w:bookmarkStart w:id="1" w:name="_Toc302917149"/>
      <w:bookmarkStart w:id="2" w:name="_Toc342602192"/>
      <w:bookmarkStart w:id="3" w:name="_Toc116293155"/>
      <w:bookmarkStart w:id="4" w:name="_Toc77243118"/>
      <w:bookmarkStart w:id="5" w:name="_Toc116293468"/>
      <w:r>
        <w:rPr>
          <w:rFonts w:asciiTheme="minorEastAsia" w:eastAsiaTheme="minorEastAsia" w:hAnsiTheme="minorEastAsia" w:hint="eastAsia"/>
          <w:bCs w:val="0"/>
          <w:sz w:val="36"/>
          <w:szCs w:val="36"/>
        </w:rPr>
        <w:t xml:space="preserve">1.1 </w:t>
      </w:r>
      <w:r>
        <w:rPr>
          <w:rFonts w:asciiTheme="minorEastAsia" w:eastAsiaTheme="minorEastAsia" w:hAnsiTheme="minorEastAsia" w:hint="eastAsia"/>
          <w:bCs w:val="0"/>
          <w:sz w:val="36"/>
          <w:szCs w:val="36"/>
        </w:rPr>
        <w:t>设计依据</w:t>
      </w:r>
      <w:bookmarkStart w:id="6" w:name="_GoBack"/>
      <w:bookmarkEnd w:id="0"/>
      <w:bookmarkEnd w:id="1"/>
      <w:bookmarkEnd w:id="2"/>
      <w:bookmarkEnd w:id="3"/>
      <w:bookmarkEnd w:id="4"/>
      <w:bookmarkEnd w:id="5"/>
      <w:bookmarkEnd w:id="6"/>
    </w:p>
    <w:p w14:paraId="416963D3"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 xml:space="preserve"> </w:t>
      </w:r>
      <w:r>
        <w:rPr>
          <w:rFonts w:asciiTheme="minorEastAsia" w:hAnsiTheme="minorEastAsia" w:hint="eastAsia"/>
          <w:sz w:val="36"/>
          <w:szCs w:val="36"/>
          <w:lang w:val="en-GB"/>
        </w:rPr>
        <w:t>淄博市</w:t>
      </w:r>
      <w:r>
        <w:rPr>
          <w:rFonts w:asciiTheme="minorEastAsia" w:hAnsiTheme="minorEastAsia" w:hint="eastAsia"/>
          <w:sz w:val="36"/>
          <w:szCs w:val="36"/>
        </w:rPr>
        <w:t>传染病</w:t>
      </w:r>
      <w:r>
        <w:rPr>
          <w:rFonts w:asciiTheme="minorEastAsia" w:hAnsiTheme="minorEastAsia" w:hint="eastAsia"/>
          <w:sz w:val="36"/>
          <w:szCs w:val="36"/>
          <w:lang w:val="en-GB"/>
        </w:rPr>
        <w:t>医院所提供设计参数</w:t>
      </w:r>
      <w:r>
        <w:rPr>
          <w:rFonts w:asciiTheme="minorEastAsia" w:hAnsiTheme="minorEastAsia" w:hint="eastAsia"/>
          <w:sz w:val="36"/>
          <w:szCs w:val="36"/>
        </w:rPr>
        <w:t>；</w:t>
      </w:r>
    </w:p>
    <w:p w14:paraId="5F2237EA"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《中华人民共和国环境保护法》；</w:t>
      </w:r>
    </w:p>
    <w:p w14:paraId="4A7572FE"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《给排水设计手册》；</w:t>
      </w:r>
    </w:p>
    <w:p w14:paraId="5566FF24"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《环境工程设计手册》废水卷；</w:t>
      </w:r>
    </w:p>
    <w:p w14:paraId="4D268503"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《建设项目环境保护设计规范》；</w:t>
      </w:r>
    </w:p>
    <w:p w14:paraId="1DFE85EE"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《室外排水设计规范》</w:t>
      </w:r>
      <w:r>
        <w:rPr>
          <w:rFonts w:asciiTheme="minorEastAsia" w:hAnsiTheme="minorEastAsia" w:hint="eastAsia"/>
          <w:sz w:val="36"/>
          <w:szCs w:val="36"/>
        </w:rPr>
        <w:t>GB50201-2005</w:t>
      </w:r>
      <w:r>
        <w:rPr>
          <w:rFonts w:asciiTheme="minorEastAsia" w:hAnsiTheme="minorEastAsia" w:hint="eastAsia"/>
          <w:sz w:val="36"/>
          <w:szCs w:val="36"/>
        </w:rPr>
        <w:t>；</w:t>
      </w:r>
    </w:p>
    <w:p w14:paraId="4225F538"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《建筑给水排水设计规范》</w:t>
      </w:r>
      <w:r>
        <w:rPr>
          <w:rFonts w:asciiTheme="minorEastAsia" w:hAnsiTheme="minorEastAsia" w:hint="eastAsia"/>
          <w:sz w:val="36"/>
          <w:szCs w:val="36"/>
        </w:rPr>
        <w:t>GB50015-2003</w:t>
      </w:r>
      <w:r>
        <w:rPr>
          <w:rFonts w:asciiTheme="minorEastAsia" w:hAnsiTheme="minorEastAsia" w:hint="eastAsia"/>
          <w:sz w:val="36"/>
          <w:szCs w:val="36"/>
        </w:rPr>
        <w:t>；</w:t>
      </w:r>
    </w:p>
    <w:p w14:paraId="6C0010EE"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《采暖通风和空气调节设计规范》</w:t>
      </w:r>
      <w:r>
        <w:rPr>
          <w:rFonts w:asciiTheme="minorEastAsia" w:hAnsiTheme="minorEastAsia" w:hint="eastAsia"/>
          <w:sz w:val="36"/>
          <w:szCs w:val="36"/>
        </w:rPr>
        <w:t>GBJ19-87</w:t>
      </w:r>
      <w:r>
        <w:rPr>
          <w:rFonts w:asciiTheme="minorEastAsia" w:hAnsiTheme="minorEastAsia" w:hint="eastAsia"/>
          <w:sz w:val="36"/>
          <w:szCs w:val="36"/>
        </w:rPr>
        <w:t>；</w:t>
      </w:r>
    </w:p>
    <w:p w14:paraId="5B206C25"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《建筑设计防火规范》</w:t>
      </w:r>
      <w:r>
        <w:rPr>
          <w:rFonts w:asciiTheme="minorEastAsia" w:hAnsiTheme="minorEastAsia" w:hint="eastAsia"/>
          <w:sz w:val="36"/>
          <w:szCs w:val="36"/>
        </w:rPr>
        <w:t>GB50016-2006</w:t>
      </w:r>
      <w:r>
        <w:rPr>
          <w:rFonts w:asciiTheme="minorEastAsia" w:hAnsiTheme="minorEastAsia" w:hint="eastAsia"/>
          <w:sz w:val="36"/>
          <w:szCs w:val="36"/>
        </w:rPr>
        <w:t>；</w:t>
      </w:r>
    </w:p>
    <w:p w14:paraId="2EB49510"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《建筑抗震设计规范》</w:t>
      </w:r>
      <w:r>
        <w:rPr>
          <w:rFonts w:asciiTheme="minorEastAsia" w:hAnsiTheme="minorEastAsia" w:hint="eastAsia"/>
          <w:sz w:val="36"/>
          <w:szCs w:val="36"/>
        </w:rPr>
        <w:t>GB50011-2001</w:t>
      </w:r>
      <w:r>
        <w:rPr>
          <w:rFonts w:asciiTheme="minorEastAsia" w:hAnsiTheme="minorEastAsia" w:hint="eastAsia"/>
          <w:sz w:val="36"/>
          <w:szCs w:val="36"/>
        </w:rPr>
        <w:t>；</w:t>
      </w:r>
    </w:p>
    <w:p w14:paraId="4DB87118"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《供配电系统设计规范》</w:t>
      </w:r>
      <w:r>
        <w:rPr>
          <w:rFonts w:asciiTheme="minorEastAsia" w:hAnsiTheme="minorEastAsia" w:hint="eastAsia"/>
          <w:sz w:val="36"/>
          <w:szCs w:val="36"/>
        </w:rPr>
        <w:t>GB50052-95</w:t>
      </w:r>
      <w:r>
        <w:rPr>
          <w:rFonts w:asciiTheme="minorEastAsia" w:hAnsiTheme="minorEastAsia" w:hint="eastAsia"/>
          <w:sz w:val="36"/>
          <w:szCs w:val="36"/>
        </w:rPr>
        <w:t>；</w:t>
      </w:r>
    </w:p>
    <w:p w14:paraId="4DBCD480"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《低压配电设计规范》</w:t>
      </w:r>
      <w:r>
        <w:rPr>
          <w:rFonts w:asciiTheme="minorEastAsia" w:hAnsiTheme="minorEastAsia" w:hint="eastAsia"/>
          <w:sz w:val="36"/>
          <w:szCs w:val="36"/>
        </w:rPr>
        <w:t>GB50054-95</w:t>
      </w:r>
      <w:r>
        <w:rPr>
          <w:rFonts w:asciiTheme="minorEastAsia" w:hAnsiTheme="minorEastAsia" w:hint="eastAsia"/>
          <w:sz w:val="36"/>
          <w:szCs w:val="36"/>
        </w:rPr>
        <w:t>；</w:t>
      </w:r>
    </w:p>
    <w:p w14:paraId="16D8E7AD"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《工业与民用电力装置的接地设计规范》</w:t>
      </w:r>
      <w:r>
        <w:rPr>
          <w:rFonts w:asciiTheme="minorEastAsia" w:hAnsiTheme="minorEastAsia" w:hint="eastAsia"/>
          <w:sz w:val="36"/>
          <w:szCs w:val="36"/>
        </w:rPr>
        <w:t>GBJ65-83</w:t>
      </w:r>
      <w:r>
        <w:rPr>
          <w:rFonts w:asciiTheme="minorEastAsia" w:hAnsiTheme="minorEastAsia" w:hint="eastAsia"/>
          <w:sz w:val="36"/>
          <w:szCs w:val="36"/>
        </w:rPr>
        <w:t>；</w:t>
      </w:r>
    </w:p>
    <w:p w14:paraId="23A193E2" w14:textId="77777777" w:rsidR="005230F3" w:rsidRDefault="00233439">
      <w:pPr>
        <w:spacing w:line="360" w:lineRule="auto"/>
        <w:ind w:firstLine="964"/>
        <w:jc w:val="left"/>
        <w:rPr>
          <w:rFonts w:asciiTheme="minorEastAsia" w:hAnsiTheme="minorEastAsia"/>
          <w:sz w:val="36"/>
          <w:szCs w:val="36"/>
        </w:rPr>
      </w:pPr>
      <w:r>
        <w:rPr>
          <w:rFonts w:asciiTheme="minorEastAsia" w:hAnsiTheme="minorEastAsia" w:hint="eastAsia"/>
          <w:sz w:val="36"/>
          <w:szCs w:val="36"/>
        </w:rPr>
        <w:sym w:font="Wingdings 3" w:char="F084"/>
      </w:r>
      <w:r>
        <w:rPr>
          <w:rFonts w:asciiTheme="minorEastAsia" w:hAnsiTheme="minorEastAsia" w:hint="eastAsia"/>
          <w:sz w:val="36"/>
          <w:szCs w:val="36"/>
        </w:rPr>
        <w:t>《工业企业厂界噪声标准》</w:t>
      </w:r>
      <w:r>
        <w:rPr>
          <w:rFonts w:asciiTheme="minorEastAsia" w:hAnsiTheme="minorEastAsia" w:hint="eastAsia"/>
          <w:sz w:val="36"/>
          <w:szCs w:val="36"/>
        </w:rPr>
        <w:t>GB12348-90</w:t>
      </w:r>
      <w:r>
        <w:rPr>
          <w:rFonts w:asciiTheme="minorEastAsia" w:hAnsiTheme="minorEastAsia" w:hint="eastAsia"/>
          <w:sz w:val="36"/>
          <w:szCs w:val="36"/>
        </w:rPr>
        <w:t>；</w:t>
      </w:r>
    </w:p>
    <w:p w14:paraId="5820774A" w14:textId="77777777" w:rsidR="005230F3" w:rsidRDefault="00233439">
      <w:pPr>
        <w:pStyle w:val="2"/>
        <w:spacing w:before="100" w:beforeAutospacing="1" w:after="0" w:line="360" w:lineRule="auto"/>
        <w:rPr>
          <w:rFonts w:asciiTheme="minorEastAsia" w:eastAsiaTheme="minorEastAsia" w:hAnsiTheme="minorEastAsia"/>
          <w:bCs w:val="0"/>
          <w:sz w:val="36"/>
          <w:szCs w:val="36"/>
        </w:rPr>
      </w:pPr>
      <w:bookmarkStart w:id="7" w:name="_Toc302917150"/>
      <w:bookmarkStart w:id="8" w:name="_Toc77243119"/>
      <w:bookmarkStart w:id="9" w:name="_Toc116293469"/>
      <w:bookmarkStart w:id="10" w:name="_Toc342602193"/>
      <w:bookmarkStart w:id="11" w:name="_Toc116293156"/>
      <w:bookmarkStart w:id="12" w:name="_Toc77229773"/>
      <w:r>
        <w:rPr>
          <w:rFonts w:asciiTheme="minorEastAsia" w:eastAsiaTheme="minorEastAsia" w:hAnsiTheme="minorEastAsia" w:hint="eastAsia"/>
          <w:bCs w:val="0"/>
          <w:sz w:val="36"/>
          <w:szCs w:val="36"/>
        </w:rPr>
        <w:lastRenderedPageBreak/>
        <w:t xml:space="preserve">1.2 </w:t>
      </w:r>
      <w:r>
        <w:rPr>
          <w:rFonts w:asciiTheme="minorEastAsia" w:eastAsiaTheme="minorEastAsia" w:hAnsiTheme="minorEastAsia" w:hint="eastAsia"/>
          <w:bCs w:val="0"/>
          <w:sz w:val="36"/>
          <w:szCs w:val="36"/>
        </w:rPr>
        <w:t>设计原则</w:t>
      </w:r>
      <w:bookmarkEnd w:id="7"/>
      <w:bookmarkEnd w:id="8"/>
      <w:bookmarkEnd w:id="9"/>
      <w:bookmarkEnd w:id="10"/>
      <w:bookmarkEnd w:id="11"/>
      <w:bookmarkEnd w:id="12"/>
    </w:p>
    <w:p w14:paraId="44AC884D" w14:textId="77777777" w:rsidR="005230F3" w:rsidRDefault="00233439">
      <w:pPr>
        <w:spacing w:line="480" w:lineRule="exact"/>
        <w:ind w:left="810" w:hangingChars="225" w:hanging="810"/>
        <w:rPr>
          <w:rFonts w:asciiTheme="minorEastAsia" w:hAnsiTheme="minorEastAsia"/>
          <w:sz w:val="36"/>
          <w:szCs w:val="36"/>
        </w:rPr>
      </w:pPr>
      <w:r>
        <w:rPr>
          <w:rFonts w:asciiTheme="minorEastAsia" w:hAnsiTheme="minorEastAsia" w:hint="eastAsia"/>
          <w:bCs/>
          <w:sz w:val="36"/>
          <w:szCs w:val="36"/>
        </w:rPr>
        <w:t>1.2.1</w:t>
      </w:r>
      <w:r>
        <w:rPr>
          <w:rFonts w:asciiTheme="minorEastAsia" w:hAnsiTheme="minorEastAsia"/>
          <w:bCs/>
          <w:sz w:val="36"/>
          <w:szCs w:val="36"/>
        </w:rPr>
        <w:t xml:space="preserve"> </w:t>
      </w:r>
      <w:r>
        <w:rPr>
          <w:rFonts w:asciiTheme="minorEastAsia" w:hAnsiTheme="minorEastAsia" w:hint="eastAsia"/>
          <w:sz w:val="36"/>
          <w:szCs w:val="36"/>
        </w:rPr>
        <w:t>严格执行国家环境保护有关法律法规，按规定的排放标准排放，即处理出水达到或优于既定标准。</w:t>
      </w:r>
    </w:p>
    <w:p w14:paraId="3C96A7D6" w14:textId="77777777" w:rsidR="005230F3" w:rsidRDefault="00233439">
      <w:pPr>
        <w:spacing w:line="480" w:lineRule="exact"/>
        <w:ind w:left="810" w:hangingChars="225" w:hanging="810"/>
        <w:rPr>
          <w:rFonts w:asciiTheme="minorEastAsia" w:hAnsiTheme="minorEastAsia"/>
          <w:sz w:val="36"/>
          <w:szCs w:val="36"/>
          <w:lang w:val="en-GB"/>
        </w:rPr>
      </w:pPr>
      <w:r>
        <w:rPr>
          <w:rFonts w:asciiTheme="minorEastAsia" w:hAnsiTheme="minorEastAsia" w:hint="eastAsia"/>
          <w:bCs/>
          <w:sz w:val="36"/>
          <w:szCs w:val="36"/>
        </w:rPr>
        <w:t>1.2.2</w:t>
      </w:r>
      <w:r>
        <w:rPr>
          <w:rFonts w:asciiTheme="minorEastAsia" w:hAnsiTheme="minorEastAsia" w:hint="eastAsia"/>
          <w:sz w:val="36"/>
          <w:szCs w:val="36"/>
          <w:lang w:val="en-GB"/>
        </w:rPr>
        <w:t>根据医院废水的排放特点，参照国内同类医院废水治理工程所采取的工艺路线，采用技术先进、工艺可靠的治理工艺。</w:t>
      </w:r>
    </w:p>
    <w:p w14:paraId="2B7EF11C" w14:textId="77777777" w:rsidR="005230F3" w:rsidRDefault="00233439">
      <w:pPr>
        <w:spacing w:line="480" w:lineRule="exact"/>
        <w:ind w:left="810" w:hangingChars="225" w:hanging="810"/>
        <w:rPr>
          <w:rFonts w:asciiTheme="minorEastAsia" w:hAnsiTheme="minorEastAsia"/>
          <w:sz w:val="36"/>
          <w:szCs w:val="36"/>
        </w:rPr>
      </w:pPr>
      <w:r>
        <w:rPr>
          <w:rFonts w:asciiTheme="minorEastAsia" w:hAnsiTheme="minorEastAsia" w:hint="eastAsia"/>
          <w:bCs/>
          <w:sz w:val="36"/>
          <w:szCs w:val="36"/>
        </w:rPr>
        <w:t>1.2.3</w:t>
      </w:r>
      <w:r>
        <w:rPr>
          <w:rFonts w:asciiTheme="minorEastAsia" w:hAnsiTheme="minorEastAsia" w:hint="eastAsia"/>
          <w:sz w:val="36"/>
          <w:szCs w:val="36"/>
        </w:rPr>
        <w:t>结合建设方实际情况，采用先进、合理、成熟、可靠的处理工艺，在保证出水达标的前提下，系统应便于操作管理及维修、节能、日常运行费用低。</w:t>
      </w:r>
    </w:p>
    <w:p w14:paraId="698DA0D6" w14:textId="77777777" w:rsidR="005230F3" w:rsidRDefault="00233439">
      <w:pPr>
        <w:spacing w:line="480" w:lineRule="exact"/>
        <w:ind w:left="810" w:hangingChars="225" w:hanging="810"/>
        <w:rPr>
          <w:rFonts w:asciiTheme="minorEastAsia" w:hAnsiTheme="minorEastAsia"/>
          <w:sz w:val="36"/>
          <w:szCs w:val="36"/>
        </w:rPr>
      </w:pPr>
      <w:r>
        <w:rPr>
          <w:rFonts w:asciiTheme="minorEastAsia" w:hAnsiTheme="minorEastAsia" w:hint="eastAsia"/>
          <w:bCs/>
          <w:sz w:val="36"/>
          <w:szCs w:val="36"/>
        </w:rPr>
        <w:t>1.2.4</w:t>
      </w:r>
      <w:r>
        <w:rPr>
          <w:rFonts w:asciiTheme="minorEastAsia" w:hAnsiTheme="minorEastAsia" w:hint="eastAsia"/>
          <w:sz w:val="36"/>
          <w:szCs w:val="36"/>
        </w:rPr>
        <w:t xml:space="preserve"> </w:t>
      </w:r>
      <w:r>
        <w:rPr>
          <w:rFonts w:asciiTheme="minorEastAsia" w:hAnsiTheme="minorEastAsia" w:hint="eastAsia"/>
          <w:sz w:val="36"/>
          <w:szCs w:val="36"/>
        </w:rPr>
        <w:t>工艺设计与设备选型能够在生产运行过程中具有较大的灵活性和调节余地，能适应水质、水量的变化，确保出水水质稳定、达标排放。</w:t>
      </w:r>
    </w:p>
    <w:p w14:paraId="25D7DF99" w14:textId="77777777" w:rsidR="005230F3" w:rsidRDefault="00233439">
      <w:pPr>
        <w:spacing w:line="480" w:lineRule="exact"/>
        <w:ind w:left="810" w:hangingChars="225" w:hanging="810"/>
        <w:rPr>
          <w:rFonts w:asciiTheme="minorEastAsia" w:hAnsiTheme="minorEastAsia"/>
          <w:bCs/>
          <w:sz w:val="36"/>
          <w:szCs w:val="36"/>
        </w:rPr>
      </w:pPr>
      <w:r>
        <w:rPr>
          <w:rFonts w:asciiTheme="minorEastAsia" w:hAnsiTheme="minorEastAsia" w:hint="eastAsia"/>
          <w:bCs/>
          <w:sz w:val="36"/>
          <w:szCs w:val="36"/>
        </w:rPr>
        <w:t>1.2.5</w:t>
      </w:r>
      <w:r>
        <w:rPr>
          <w:rFonts w:asciiTheme="minorEastAsia" w:hAnsiTheme="minorEastAsia"/>
          <w:bCs/>
          <w:sz w:val="36"/>
          <w:szCs w:val="36"/>
        </w:rPr>
        <w:t xml:space="preserve"> </w:t>
      </w:r>
      <w:r>
        <w:rPr>
          <w:rFonts w:asciiTheme="minorEastAsia" w:hAnsiTheme="minorEastAsia" w:hint="eastAsia"/>
          <w:sz w:val="36"/>
          <w:szCs w:val="36"/>
        </w:rPr>
        <w:t>考虑建设方实际情况，平面布置和工程设计时，布局力求紧凑、简洁，工艺流程合理通畅，尽可能缩短建、构筑物间的管路距离，节省建设投资。</w:t>
      </w:r>
    </w:p>
    <w:p w14:paraId="363AF9F8" w14:textId="77777777" w:rsidR="005230F3" w:rsidRDefault="00233439">
      <w:pPr>
        <w:spacing w:line="480" w:lineRule="exact"/>
        <w:rPr>
          <w:rFonts w:asciiTheme="minorEastAsia" w:hAnsiTheme="minorEastAsia"/>
          <w:bCs/>
          <w:sz w:val="36"/>
          <w:szCs w:val="36"/>
        </w:rPr>
      </w:pPr>
      <w:r>
        <w:rPr>
          <w:rFonts w:asciiTheme="minorEastAsia" w:hAnsiTheme="minorEastAsia" w:hint="eastAsia"/>
          <w:bCs/>
          <w:sz w:val="36"/>
          <w:szCs w:val="36"/>
        </w:rPr>
        <w:t>1.2.6</w:t>
      </w:r>
      <w:r>
        <w:rPr>
          <w:rFonts w:asciiTheme="minorEastAsia" w:hAnsiTheme="minorEastAsia" w:hint="eastAsia"/>
          <w:sz w:val="36"/>
          <w:szCs w:val="36"/>
        </w:rPr>
        <w:t>强化噪音防治措施，避免二次污染；</w:t>
      </w:r>
    </w:p>
    <w:p w14:paraId="6B1DB4B7" w14:textId="77777777" w:rsidR="005230F3" w:rsidRDefault="00233439">
      <w:pPr>
        <w:spacing w:line="480" w:lineRule="exact"/>
        <w:rPr>
          <w:rFonts w:asciiTheme="minorEastAsia" w:hAnsiTheme="minorEastAsia"/>
          <w:sz w:val="36"/>
          <w:szCs w:val="36"/>
        </w:rPr>
      </w:pPr>
      <w:r>
        <w:rPr>
          <w:rFonts w:asciiTheme="minorEastAsia" w:hAnsiTheme="minorEastAsia" w:hint="eastAsia"/>
          <w:bCs/>
          <w:sz w:val="36"/>
          <w:szCs w:val="36"/>
        </w:rPr>
        <w:t>1.2.7</w:t>
      </w:r>
      <w:r>
        <w:rPr>
          <w:rFonts w:asciiTheme="minorEastAsia" w:hAnsiTheme="minorEastAsia" w:hint="eastAsia"/>
          <w:sz w:val="36"/>
          <w:szCs w:val="36"/>
        </w:rPr>
        <w:t xml:space="preserve"> </w:t>
      </w:r>
      <w:r>
        <w:rPr>
          <w:rFonts w:asciiTheme="minorEastAsia" w:hAnsiTheme="minorEastAsia" w:hint="eastAsia"/>
          <w:sz w:val="36"/>
          <w:szCs w:val="36"/>
        </w:rPr>
        <w:t>严格执行国家有关设计规范、标准，重视消防、安全工作。</w:t>
      </w:r>
    </w:p>
    <w:p w14:paraId="3442906B" w14:textId="77777777" w:rsidR="005230F3" w:rsidRDefault="00233439">
      <w:pPr>
        <w:pStyle w:val="2"/>
        <w:spacing w:before="100" w:beforeAutospacing="1" w:after="0" w:line="360" w:lineRule="auto"/>
        <w:rPr>
          <w:rFonts w:asciiTheme="minorEastAsia" w:eastAsiaTheme="minorEastAsia" w:hAnsiTheme="minorEastAsia"/>
          <w:bCs w:val="0"/>
          <w:sz w:val="36"/>
          <w:szCs w:val="36"/>
        </w:rPr>
      </w:pPr>
      <w:bookmarkStart w:id="13" w:name="_Toc116293157"/>
      <w:bookmarkStart w:id="14" w:name="_Toc77229774"/>
      <w:bookmarkStart w:id="15" w:name="_Toc302917151"/>
      <w:bookmarkStart w:id="16" w:name="_Toc77243120"/>
      <w:bookmarkStart w:id="17" w:name="_Toc342602194"/>
      <w:bookmarkStart w:id="18" w:name="_Toc116293470"/>
      <w:r>
        <w:rPr>
          <w:rFonts w:asciiTheme="minorEastAsia" w:eastAsiaTheme="minorEastAsia" w:hAnsiTheme="minorEastAsia" w:hint="eastAsia"/>
          <w:bCs w:val="0"/>
          <w:sz w:val="36"/>
          <w:szCs w:val="36"/>
        </w:rPr>
        <w:t xml:space="preserve">1.3 </w:t>
      </w:r>
      <w:r>
        <w:rPr>
          <w:rFonts w:asciiTheme="minorEastAsia" w:eastAsiaTheme="minorEastAsia" w:hAnsiTheme="minorEastAsia" w:hint="eastAsia"/>
          <w:bCs w:val="0"/>
          <w:sz w:val="36"/>
          <w:szCs w:val="36"/>
        </w:rPr>
        <w:t>设计范围</w:t>
      </w:r>
      <w:bookmarkEnd w:id="13"/>
      <w:bookmarkEnd w:id="14"/>
      <w:bookmarkEnd w:id="15"/>
      <w:bookmarkEnd w:id="16"/>
      <w:bookmarkEnd w:id="17"/>
      <w:bookmarkEnd w:id="18"/>
    </w:p>
    <w:p w14:paraId="02104D13" w14:textId="77777777" w:rsidR="005230F3" w:rsidRDefault="00233439">
      <w:pPr>
        <w:pStyle w:val="a3"/>
        <w:spacing w:beforeLines="0" w:before="0" w:line="480" w:lineRule="exact"/>
        <w:ind w:firstLine="742"/>
        <w:rPr>
          <w:rFonts w:asciiTheme="minorEastAsia" w:eastAsiaTheme="minorEastAsia" w:hAnsiTheme="minorEastAsia"/>
          <w:sz w:val="36"/>
          <w:szCs w:val="36"/>
        </w:rPr>
      </w:pPr>
      <w:r>
        <w:rPr>
          <w:rFonts w:asciiTheme="minorEastAsia" w:eastAsiaTheme="minorEastAsia" w:hAnsiTheme="minorEastAsia" w:hint="eastAsia"/>
          <w:sz w:val="36"/>
          <w:szCs w:val="36"/>
        </w:rPr>
        <w:t>本废水处理项目设计为提标改造工程，废水经管道收集后输送至废水处理设施进行处理。</w:t>
      </w:r>
    </w:p>
    <w:p w14:paraId="04AB86A3" w14:textId="77777777" w:rsidR="005230F3" w:rsidRDefault="00233439">
      <w:pPr>
        <w:pStyle w:val="a3"/>
        <w:spacing w:beforeLines="0" w:before="0" w:line="480" w:lineRule="exact"/>
        <w:ind w:firstLine="742"/>
        <w:rPr>
          <w:rFonts w:asciiTheme="minorEastAsia" w:eastAsiaTheme="minorEastAsia" w:hAnsiTheme="minorEastAsia"/>
          <w:sz w:val="36"/>
          <w:szCs w:val="36"/>
        </w:rPr>
      </w:pPr>
      <w:r>
        <w:rPr>
          <w:rFonts w:asciiTheme="minorEastAsia" w:eastAsiaTheme="minorEastAsia" w:hAnsiTheme="minorEastAsia" w:hint="eastAsia"/>
          <w:sz w:val="36"/>
          <w:szCs w:val="36"/>
        </w:rPr>
        <w:t>本技术方案包括废水处理场界区内的治理工艺</w:t>
      </w:r>
      <w:r>
        <w:rPr>
          <w:rFonts w:asciiTheme="minorEastAsia" w:eastAsiaTheme="minorEastAsia" w:hAnsiTheme="minorEastAsia" w:hint="eastAsia"/>
          <w:sz w:val="36"/>
          <w:szCs w:val="36"/>
        </w:rPr>
        <w:t>、管道工程、设备及安装工程、电气工程、自控工程等。</w:t>
      </w:r>
    </w:p>
    <w:p w14:paraId="507DB251" w14:textId="77777777" w:rsidR="005230F3" w:rsidRDefault="00233439">
      <w:pPr>
        <w:pStyle w:val="a3"/>
        <w:spacing w:beforeLines="0" w:before="0" w:line="480" w:lineRule="exact"/>
        <w:ind w:firstLine="742"/>
        <w:rPr>
          <w:rFonts w:asciiTheme="minorEastAsia" w:eastAsiaTheme="minorEastAsia" w:hAnsiTheme="minorEastAsia"/>
          <w:sz w:val="36"/>
          <w:szCs w:val="36"/>
        </w:rPr>
      </w:pPr>
      <w:r>
        <w:rPr>
          <w:rFonts w:asciiTheme="minorEastAsia" w:eastAsiaTheme="minorEastAsia" w:hAnsiTheme="minorEastAsia" w:hint="eastAsia"/>
          <w:sz w:val="36"/>
          <w:szCs w:val="36"/>
        </w:rPr>
        <w:t>废水进口从废水处理场界区边线开始计算，动力线从废水处理场主控柜进线开始计算，排水至市政排</w:t>
      </w:r>
      <w:r>
        <w:rPr>
          <w:rFonts w:asciiTheme="minorEastAsia" w:eastAsiaTheme="minorEastAsia" w:hAnsiTheme="minorEastAsia" w:hint="eastAsia"/>
          <w:sz w:val="36"/>
          <w:szCs w:val="36"/>
        </w:rPr>
        <w:lastRenderedPageBreak/>
        <w:t>水管道止。</w:t>
      </w:r>
    </w:p>
    <w:p w14:paraId="29B1227D" w14:textId="77777777" w:rsidR="005230F3" w:rsidRDefault="00233439">
      <w:pPr>
        <w:pStyle w:val="1"/>
        <w:spacing w:line="360" w:lineRule="auto"/>
        <w:rPr>
          <w:rFonts w:asciiTheme="minorEastAsia" w:eastAsiaTheme="minorEastAsia" w:hAnsiTheme="minorEastAsia"/>
          <w:sz w:val="36"/>
          <w:szCs w:val="36"/>
        </w:rPr>
      </w:pPr>
      <w:bookmarkStart w:id="19" w:name="_Toc302917152"/>
      <w:bookmarkStart w:id="20" w:name="_Toc116293474"/>
      <w:bookmarkStart w:id="21" w:name="_Toc77243123"/>
      <w:bookmarkStart w:id="22" w:name="_Toc342602195"/>
      <w:bookmarkStart w:id="23" w:name="_Toc116293161"/>
      <w:bookmarkStart w:id="24" w:name="_Toc77229776"/>
      <w:r>
        <w:rPr>
          <w:rFonts w:asciiTheme="minorEastAsia" w:eastAsiaTheme="minorEastAsia" w:hAnsiTheme="minorEastAsia" w:hint="eastAsia"/>
          <w:sz w:val="36"/>
          <w:szCs w:val="36"/>
        </w:rPr>
        <w:t>工程设计参数</w:t>
      </w:r>
      <w:bookmarkEnd w:id="19"/>
      <w:bookmarkEnd w:id="20"/>
      <w:bookmarkEnd w:id="21"/>
      <w:bookmarkEnd w:id="22"/>
      <w:bookmarkEnd w:id="23"/>
      <w:bookmarkEnd w:id="24"/>
    </w:p>
    <w:p w14:paraId="65C325C4" w14:textId="77777777" w:rsidR="005230F3" w:rsidRDefault="00233439">
      <w:pPr>
        <w:pStyle w:val="2"/>
        <w:spacing w:before="100" w:beforeAutospacing="1" w:after="0" w:line="360" w:lineRule="auto"/>
        <w:rPr>
          <w:rFonts w:asciiTheme="minorEastAsia" w:eastAsiaTheme="minorEastAsia" w:hAnsiTheme="minorEastAsia"/>
          <w:bCs w:val="0"/>
          <w:sz w:val="36"/>
          <w:szCs w:val="36"/>
        </w:rPr>
      </w:pPr>
      <w:bookmarkStart w:id="25" w:name="_Toc116293162"/>
      <w:bookmarkStart w:id="26" w:name="_Toc77229777"/>
      <w:bookmarkStart w:id="27" w:name="_Toc116293475"/>
      <w:bookmarkStart w:id="28" w:name="_Toc77243124"/>
      <w:bookmarkStart w:id="29" w:name="_Toc302917153"/>
      <w:bookmarkStart w:id="30" w:name="_Toc342602196"/>
      <w:r>
        <w:rPr>
          <w:rFonts w:asciiTheme="minorEastAsia" w:eastAsiaTheme="minorEastAsia" w:hAnsiTheme="minorEastAsia" w:hint="eastAsia"/>
          <w:bCs w:val="0"/>
          <w:sz w:val="36"/>
          <w:szCs w:val="36"/>
        </w:rPr>
        <w:t xml:space="preserve">2.1 </w:t>
      </w:r>
      <w:bookmarkEnd w:id="25"/>
      <w:bookmarkEnd w:id="26"/>
      <w:bookmarkEnd w:id="27"/>
      <w:bookmarkEnd w:id="28"/>
      <w:r>
        <w:rPr>
          <w:rFonts w:asciiTheme="minorEastAsia" w:eastAsiaTheme="minorEastAsia" w:hAnsiTheme="minorEastAsia" w:hint="eastAsia"/>
          <w:bCs w:val="0"/>
          <w:sz w:val="36"/>
          <w:szCs w:val="36"/>
        </w:rPr>
        <w:t>废水来源及特点</w:t>
      </w:r>
      <w:bookmarkEnd w:id="29"/>
      <w:bookmarkEnd w:id="30"/>
    </w:p>
    <w:p w14:paraId="58C9B3EA" w14:textId="77777777" w:rsidR="005230F3" w:rsidRDefault="00233439">
      <w:pPr>
        <w:widowControl/>
        <w:spacing w:line="520" w:lineRule="exact"/>
        <w:ind w:firstLine="482"/>
        <w:rPr>
          <w:rFonts w:asciiTheme="minorEastAsia" w:hAnsiTheme="minorEastAsia"/>
          <w:sz w:val="36"/>
          <w:szCs w:val="36"/>
        </w:rPr>
      </w:pPr>
      <w:r>
        <w:rPr>
          <w:rFonts w:asciiTheme="minorEastAsia" w:hAnsiTheme="minorEastAsia" w:hint="eastAsia"/>
          <w:sz w:val="36"/>
          <w:szCs w:val="36"/>
        </w:rPr>
        <w:t>本工程所处理废水为淄博市第四医院原有污水处理设施升级改造项目。</w:t>
      </w:r>
      <w:r>
        <w:rPr>
          <w:rFonts w:asciiTheme="minorEastAsia" w:hAnsiTheme="minorEastAsia" w:hint="eastAsia"/>
          <w:sz w:val="36"/>
          <w:szCs w:val="36"/>
        </w:rPr>
        <w:t xml:space="preserve"> </w:t>
      </w:r>
    </w:p>
    <w:p w14:paraId="46F06E49" w14:textId="77777777" w:rsidR="005230F3" w:rsidRDefault="00233439">
      <w:pPr>
        <w:widowControl/>
        <w:spacing w:line="520" w:lineRule="exact"/>
        <w:ind w:firstLine="482"/>
        <w:rPr>
          <w:rFonts w:asciiTheme="minorEastAsia" w:hAnsiTheme="minorEastAsia"/>
          <w:sz w:val="36"/>
          <w:szCs w:val="36"/>
        </w:rPr>
      </w:pPr>
      <w:r>
        <w:rPr>
          <w:rFonts w:asciiTheme="minorEastAsia" w:hAnsiTheme="minorEastAsia" w:hint="eastAsia"/>
          <w:sz w:val="36"/>
          <w:szCs w:val="36"/>
        </w:rPr>
        <w:t>该废水的可生化性相对较好，但水中氨氮及病原菌超标，如不升级改造直接排放势必会对环境造成一定的破坏，并易于引发疾病。</w:t>
      </w:r>
    </w:p>
    <w:p w14:paraId="7D80C0BD" w14:textId="77777777" w:rsidR="005230F3" w:rsidRDefault="00233439">
      <w:pPr>
        <w:pStyle w:val="2"/>
        <w:spacing w:before="100" w:beforeAutospacing="1" w:after="0" w:line="360" w:lineRule="auto"/>
        <w:rPr>
          <w:rFonts w:asciiTheme="minorEastAsia" w:eastAsiaTheme="minorEastAsia" w:hAnsiTheme="minorEastAsia"/>
          <w:bCs w:val="0"/>
          <w:sz w:val="36"/>
          <w:szCs w:val="36"/>
        </w:rPr>
      </w:pPr>
      <w:bookmarkStart w:id="31" w:name="_Toc302917154"/>
      <w:bookmarkStart w:id="32" w:name="_Toc342602197"/>
      <w:r>
        <w:rPr>
          <w:rFonts w:asciiTheme="minorEastAsia" w:eastAsiaTheme="minorEastAsia" w:hAnsiTheme="minorEastAsia" w:hint="eastAsia"/>
          <w:bCs w:val="0"/>
          <w:sz w:val="36"/>
          <w:szCs w:val="36"/>
        </w:rPr>
        <w:t xml:space="preserve">2.2 </w:t>
      </w:r>
      <w:r>
        <w:rPr>
          <w:rFonts w:asciiTheme="minorEastAsia" w:eastAsiaTheme="minorEastAsia" w:hAnsiTheme="minorEastAsia" w:hint="eastAsia"/>
          <w:bCs w:val="0"/>
          <w:sz w:val="36"/>
          <w:szCs w:val="36"/>
        </w:rPr>
        <w:t>处理规模</w:t>
      </w:r>
      <w:bookmarkEnd w:id="31"/>
      <w:bookmarkEnd w:id="32"/>
    </w:p>
    <w:p w14:paraId="1485C319" w14:textId="77777777" w:rsidR="005230F3" w:rsidRDefault="00233439">
      <w:pPr>
        <w:spacing w:line="360" w:lineRule="auto"/>
        <w:ind w:firstLine="482"/>
        <w:rPr>
          <w:rFonts w:asciiTheme="minorEastAsia" w:hAnsiTheme="minorEastAsia"/>
          <w:sz w:val="36"/>
          <w:szCs w:val="36"/>
        </w:rPr>
      </w:pPr>
      <w:bookmarkStart w:id="33" w:name="_Toc77243125"/>
      <w:bookmarkStart w:id="34" w:name="_Toc116293476"/>
      <w:bookmarkStart w:id="35" w:name="_Toc116293163"/>
      <w:bookmarkStart w:id="36" w:name="_Toc77229778"/>
      <w:r>
        <w:rPr>
          <w:rFonts w:asciiTheme="minorEastAsia" w:hAnsiTheme="minorEastAsia" w:hint="eastAsia"/>
          <w:sz w:val="36"/>
          <w:szCs w:val="36"/>
        </w:rPr>
        <w:t>医院的污水量取决于医院的规模、性质、所处地区以及设施情况等。根据医院所提供的设计参数</w:t>
      </w:r>
      <w:r>
        <w:rPr>
          <w:rFonts w:asciiTheme="minorEastAsia" w:hAnsiTheme="minorEastAsia" w:hint="eastAsia"/>
          <w:bCs/>
          <w:sz w:val="36"/>
          <w:szCs w:val="36"/>
        </w:rPr>
        <w:t>，</w:t>
      </w:r>
      <w:r>
        <w:rPr>
          <w:rFonts w:asciiTheme="minorEastAsia" w:hAnsiTheme="minorEastAsia" w:hint="eastAsia"/>
          <w:sz w:val="36"/>
          <w:szCs w:val="36"/>
        </w:rPr>
        <w:t>估算每天污水量约为：</w:t>
      </w:r>
      <w:r>
        <w:rPr>
          <w:rFonts w:asciiTheme="minorEastAsia" w:hAnsiTheme="minorEastAsia" w:hint="eastAsia"/>
          <w:sz w:val="36"/>
          <w:szCs w:val="36"/>
        </w:rPr>
        <w:t>200m</w:t>
      </w:r>
      <w:r>
        <w:rPr>
          <w:rFonts w:asciiTheme="minorEastAsia" w:hAnsiTheme="minorEastAsia" w:hint="eastAsia"/>
          <w:sz w:val="36"/>
          <w:szCs w:val="36"/>
          <w:vertAlign w:val="superscript"/>
        </w:rPr>
        <w:t>3</w:t>
      </w:r>
      <w:r>
        <w:rPr>
          <w:rFonts w:asciiTheme="minorEastAsia" w:hAnsiTheme="minorEastAsia" w:hint="eastAsia"/>
          <w:sz w:val="36"/>
          <w:szCs w:val="36"/>
        </w:rPr>
        <w:t>/d</w:t>
      </w:r>
      <w:r>
        <w:rPr>
          <w:rFonts w:asciiTheme="minorEastAsia" w:hAnsiTheme="minorEastAsia" w:hint="eastAsia"/>
          <w:sz w:val="36"/>
          <w:szCs w:val="36"/>
        </w:rPr>
        <w:t>。</w:t>
      </w:r>
    </w:p>
    <w:p w14:paraId="5E331B2A" w14:textId="77777777" w:rsidR="005230F3" w:rsidRDefault="00233439">
      <w:pPr>
        <w:pStyle w:val="2"/>
        <w:spacing w:beforeLines="50" w:before="156" w:after="0" w:line="360" w:lineRule="auto"/>
        <w:rPr>
          <w:rFonts w:asciiTheme="minorEastAsia" w:eastAsiaTheme="minorEastAsia" w:hAnsiTheme="minorEastAsia"/>
          <w:bCs w:val="0"/>
          <w:sz w:val="36"/>
          <w:szCs w:val="36"/>
        </w:rPr>
      </w:pPr>
      <w:bookmarkStart w:id="37" w:name="_Toc302917156"/>
      <w:bookmarkStart w:id="38" w:name="_Toc116293477"/>
      <w:bookmarkStart w:id="39" w:name="_Toc77229779"/>
      <w:bookmarkStart w:id="40" w:name="_Toc77243126"/>
      <w:bookmarkStart w:id="41" w:name="_Toc116293164"/>
      <w:bookmarkStart w:id="42" w:name="_Toc342602199"/>
      <w:bookmarkEnd w:id="33"/>
      <w:bookmarkEnd w:id="34"/>
      <w:bookmarkEnd w:id="35"/>
      <w:bookmarkEnd w:id="36"/>
      <w:r>
        <w:rPr>
          <w:rFonts w:asciiTheme="minorEastAsia" w:eastAsiaTheme="minorEastAsia" w:hAnsiTheme="minorEastAsia" w:hint="eastAsia"/>
          <w:bCs w:val="0"/>
          <w:sz w:val="36"/>
          <w:szCs w:val="36"/>
        </w:rPr>
        <w:t xml:space="preserve">2.3 </w:t>
      </w:r>
      <w:r>
        <w:rPr>
          <w:rFonts w:asciiTheme="minorEastAsia" w:eastAsiaTheme="minorEastAsia" w:hAnsiTheme="minorEastAsia" w:hint="eastAsia"/>
          <w:bCs w:val="0"/>
          <w:sz w:val="36"/>
          <w:szCs w:val="36"/>
        </w:rPr>
        <w:t>出水水质</w:t>
      </w:r>
      <w:bookmarkEnd w:id="37"/>
      <w:bookmarkEnd w:id="38"/>
      <w:bookmarkEnd w:id="39"/>
      <w:bookmarkEnd w:id="40"/>
      <w:bookmarkEnd w:id="41"/>
      <w:bookmarkEnd w:id="42"/>
    </w:p>
    <w:p w14:paraId="4C54A7DD" w14:textId="77777777" w:rsidR="005230F3" w:rsidRDefault="005230F3">
      <w:pPr>
        <w:spacing w:line="360" w:lineRule="auto"/>
        <w:ind w:firstLineChars="218" w:firstLine="785"/>
        <w:rPr>
          <w:rFonts w:asciiTheme="minorEastAsia" w:hAnsiTheme="minorEastAsia"/>
          <w:sz w:val="36"/>
          <w:szCs w:val="36"/>
        </w:rPr>
      </w:pPr>
    </w:p>
    <w:tbl>
      <w:tblPr>
        <w:tblW w:w="0" w:type="auto"/>
        <w:jc w:val="center"/>
        <w:tblBorders>
          <w:top w:val="threeDEngrave" w:sz="24" w:space="0" w:color="auto"/>
          <w:bottom w:val="threeDEmboss" w:sz="24" w:space="0" w:color="auto"/>
          <w:insideH w:val="single" w:sz="4" w:space="0" w:color="auto"/>
          <w:insideV w:val="single" w:sz="4" w:space="0" w:color="auto"/>
        </w:tblBorders>
        <w:tblLook w:val="04A0" w:firstRow="1" w:lastRow="0" w:firstColumn="1" w:lastColumn="0" w:noHBand="0" w:noVBand="1"/>
      </w:tblPr>
      <w:tblGrid>
        <w:gridCol w:w="1020"/>
        <w:gridCol w:w="1710"/>
        <w:gridCol w:w="4936"/>
      </w:tblGrid>
      <w:tr w:rsidR="005230F3" w14:paraId="720681A9" w14:textId="77777777">
        <w:trPr>
          <w:trHeight w:hRule="exact" w:val="680"/>
          <w:jc w:val="center"/>
        </w:trPr>
        <w:tc>
          <w:tcPr>
            <w:tcW w:w="1020" w:type="dxa"/>
            <w:shd w:val="clear" w:color="auto" w:fill="F3F3F3"/>
            <w:vAlign w:val="center"/>
          </w:tcPr>
          <w:p w14:paraId="01F09FCB" w14:textId="77777777" w:rsidR="005230F3" w:rsidRDefault="00233439">
            <w:pPr>
              <w:spacing w:line="360" w:lineRule="auto"/>
              <w:jc w:val="center"/>
              <w:rPr>
                <w:rFonts w:asciiTheme="minorEastAsia" w:hAnsiTheme="minorEastAsia"/>
                <w:bCs/>
                <w:sz w:val="36"/>
                <w:szCs w:val="36"/>
              </w:rPr>
            </w:pPr>
            <w:r>
              <w:rPr>
                <w:rFonts w:asciiTheme="minorEastAsia" w:hAnsiTheme="minorEastAsia"/>
                <w:sz w:val="36"/>
                <w:szCs w:val="36"/>
              </w:rPr>
              <w:t>序号</w:t>
            </w:r>
          </w:p>
        </w:tc>
        <w:tc>
          <w:tcPr>
            <w:tcW w:w="1710" w:type="dxa"/>
            <w:shd w:val="clear" w:color="auto" w:fill="F3F3F3"/>
            <w:vAlign w:val="center"/>
          </w:tcPr>
          <w:p w14:paraId="179C3FA4" w14:textId="77777777" w:rsidR="005230F3" w:rsidRDefault="00233439">
            <w:pPr>
              <w:spacing w:line="360" w:lineRule="auto"/>
              <w:jc w:val="center"/>
              <w:rPr>
                <w:rFonts w:asciiTheme="minorEastAsia" w:hAnsiTheme="minorEastAsia"/>
                <w:sz w:val="36"/>
                <w:szCs w:val="36"/>
              </w:rPr>
            </w:pPr>
            <w:r>
              <w:rPr>
                <w:rFonts w:asciiTheme="minorEastAsia" w:hAnsiTheme="minorEastAsia"/>
                <w:sz w:val="36"/>
                <w:szCs w:val="36"/>
              </w:rPr>
              <w:t>项目</w:t>
            </w:r>
          </w:p>
        </w:tc>
        <w:tc>
          <w:tcPr>
            <w:tcW w:w="4936" w:type="dxa"/>
            <w:shd w:val="clear" w:color="auto" w:fill="F3F3F3"/>
            <w:vAlign w:val="center"/>
          </w:tcPr>
          <w:p w14:paraId="67CC093A" w14:textId="77777777" w:rsidR="005230F3" w:rsidRDefault="00233439">
            <w:pPr>
              <w:spacing w:line="360" w:lineRule="auto"/>
              <w:jc w:val="center"/>
              <w:rPr>
                <w:rFonts w:asciiTheme="minorEastAsia" w:hAnsiTheme="minorEastAsia"/>
                <w:sz w:val="36"/>
                <w:szCs w:val="36"/>
              </w:rPr>
            </w:pPr>
            <w:r>
              <w:rPr>
                <w:rFonts w:asciiTheme="minorEastAsia" w:hAnsiTheme="minorEastAsia"/>
                <w:sz w:val="36"/>
                <w:szCs w:val="36"/>
              </w:rPr>
              <w:t xml:space="preserve"> </w:t>
            </w:r>
            <w:r>
              <w:rPr>
                <w:rFonts w:asciiTheme="minorEastAsia" w:hAnsiTheme="minorEastAsia"/>
                <w:sz w:val="36"/>
                <w:szCs w:val="36"/>
              </w:rPr>
              <w:t>进水水质（</w:t>
            </w:r>
            <w:r>
              <w:rPr>
                <w:rFonts w:asciiTheme="minorEastAsia" w:hAnsiTheme="minorEastAsia"/>
                <w:sz w:val="36"/>
                <w:szCs w:val="36"/>
              </w:rPr>
              <w:t>mg/L</w:t>
            </w:r>
            <w:r>
              <w:rPr>
                <w:rFonts w:asciiTheme="minorEastAsia" w:hAnsiTheme="minorEastAsia"/>
                <w:sz w:val="36"/>
                <w:szCs w:val="36"/>
              </w:rPr>
              <w:t>）</w:t>
            </w:r>
          </w:p>
        </w:tc>
      </w:tr>
      <w:tr w:rsidR="005230F3" w14:paraId="5E286D06" w14:textId="77777777">
        <w:trPr>
          <w:trHeight w:hRule="exact" w:val="454"/>
          <w:jc w:val="center"/>
        </w:trPr>
        <w:tc>
          <w:tcPr>
            <w:tcW w:w="1020" w:type="dxa"/>
            <w:shd w:val="clear" w:color="auto" w:fill="F3F3F3"/>
            <w:vAlign w:val="center"/>
          </w:tcPr>
          <w:p w14:paraId="29D592FB" w14:textId="77777777" w:rsidR="005230F3" w:rsidRDefault="00233439">
            <w:pPr>
              <w:jc w:val="center"/>
              <w:rPr>
                <w:rFonts w:asciiTheme="minorEastAsia" w:hAnsiTheme="minorEastAsia"/>
                <w:sz w:val="36"/>
                <w:szCs w:val="36"/>
              </w:rPr>
            </w:pPr>
            <w:r>
              <w:rPr>
                <w:rFonts w:asciiTheme="minorEastAsia" w:hAnsiTheme="minorEastAsia" w:hint="eastAsia"/>
                <w:sz w:val="36"/>
                <w:szCs w:val="36"/>
              </w:rPr>
              <w:t>1</w:t>
            </w:r>
          </w:p>
        </w:tc>
        <w:tc>
          <w:tcPr>
            <w:tcW w:w="1710" w:type="dxa"/>
            <w:vAlign w:val="center"/>
          </w:tcPr>
          <w:p w14:paraId="0891F20C" w14:textId="77777777" w:rsidR="005230F3" w:rsidRDefault="00233439">
            <w:pPr>
              <w:jc w:val="center"/>
              <w:rPr>
                <w:rFonts w:asciiTheme="minorEastAsia" w:hAnsiTheme="minorEastAsia"/>
                <w:sz w:val="36"/>
                <w:szCs w:val="36"/>
              </w:rPr>
            </w:pPr>
            <w:r>
              <w:rPr>
                <w:rFonts w:asciiTheme="minorEastAsia" w:hAnsiTheme="minorEastAsia"/>
                <w:kern w:val="0"/>
                <w:sz w:val="36"/>
                <w:szCs w:val="36"/>
              </w:rPr>
              <w:t>COD</w:t>
            </w:r>
            <w:r>
              <w:rPr>
                <w:rFonts w:asciiTheme="minorEastAsia" w:hAnsiTheme="minorEastAsia"/>
                <w:kern w:val="0"/>
                <w:sz w:val="36"/>
                <w:szCs w:val="36"/>
                <w:vertAlign w:val="subscript"/>
              </w:rPr>
              <w:t>cr</w:t>
            </w:r>
          </w:p>
        </w:tc>
        <w:tc>
          <w:tcPr>
            <w:tcW w:w="4936" w:type="dxa"/>
            <w:vAlign w:val="center"/>
          </w:tcPr>
          <w:p w14:paraId="680E2A26" w14:textId="77777777" w:rsidR="005230F3" w:rsidRDefault="00233439">
            <w:pPr>
              <w:jc w:val="center"/>
              <w:rPr>
                <w:rFonts w:asciiTheme="minorEastAsia" w:hAnsiTheme="minorEastAsia"/>
                <w:sz w:val="36"/>
                <w:szCs w:val="36"/>
              </w:rPr>
            </w:pPr>
            <w:r>
              <w:rPr>
                <w:rFonts w:asciiTheme="minorEastAsia" w:hAnsiTheme="minorEastAsia" w:hint="eastAsia"/>
                <w:sz w:val="36"/>
                <w:szCs w:val="36"/>
              </w:rPr>
              <w:t>40</w:t>
            </w:r>
          </w:p>
        </w:tc>
      </w:tr>
      <w:tr w:rsidR="005230F3" w14:paraId="77C35045" w14:textId="77777777">
        <w:trPr>
          <w:trHeight w:hRule="exact" w:val="454"/>
          <w:jc w:val="center"/>
        </w:trPr>
        <w:tc>
          <w:tcPr>
            <w:tcW w:w="1020" w:type="dxa"/>
            <w:shd w:val="clear" w:color="auto" w:fill="F3F3F3"/>
            <w:vAlign w:val="center"/>
          </w:tcPr>
          <w:p w14:paraId="49F86211" w14:textId="77777777" w:rsidR="005230F3" w:rsidRDefault="00233439">
            <w:pPr>
              <w:jc w:val="center"/>
              <w:rPr>
                <w:rFonts w:asciiTheme="minorEastAsia" w:hAnsiTheme="minorEastAsia"/>
                <w:sz w:val="36"/>
                <w:szCs w:val="36"/>
              </w:rPr>
            </w:pPr>
            <w:r>
              <w:rPr>
                <w:rFonts w:asciiTheme="minorEastAsia" w:hAnsiTheme="minorEastAsia" w:hint="eastAsia"/>
                <w:sz w:val="36"/>
                <w:szCs w:val="36"/>
              </w:rPr>
              <w:t>2</w:t>
            </w:r>
          </w:p>
        </w:tc>
        <w:tc>
          <w:tcPr>
            <w:tcW w:w="1710" w:type="dxa"/>
            <w:vAlign w:val="center"/>
          </w:tcPr>
          <w:p w14:paraId="1EA61419" w14:textId="77777777" w:rsidR="005230F3" w:rsidRDefault="00233439">
            <w:pPr>
              <w:jc w:val="center"/>
              <w:rPr>
                <w:rFonts w:asciiTheme="minorEastAsia" w:hAnsiTheme="minorEastAsia"/>
                <w:kern w:val="0"/>
                <w:sz w:val="36"/>
                <w:szCs w:val="36"/>
              </w:rPr>
            </w:pPr>
            <w:r>
              <w:rPr>
                <w:rFonts w:asciiTheme="minorEastAsia" w:hAnsiTheme="minorEastAsia" w:hint="eastAsia"/>
                <w:kern w:val="0"/>
                <w:sz w:val="36"/>
                <w:szCs w:val="36"/>
              </w:rPr>
              <w:t>氨氮</w:t>
            </w:r>
          </w:p>
        </w:tc>
        <w:tc>
          <w:tcPr>
            <w:tcW w:w="4936" w:type="dxa"/>
            <w:vAlign w:val="center"/>
          </w:tcPr>
          <w:p w14:paraId="24C91057" w14:textId="77777777" w:rsidR="005230F3" w:rsidRDefault="00233439">
            <w:pPr>
              <w:jc w:val="center"/>
              <w:rPr>
                <w:rFonts w:asciiTheme="minorEastAsia" w:hAnsiTheme="minorEastAsia"/>
                <w:sz w:val="36"/>
                <w:szCs w:val="36"/>
              </w:rPr>
            </w:pPr>
            <w:r>
              <w:rPr>
                <w:rFonts w:asciiTheme="minorEastAsia" w:hAnsiTheme="minorEastAsia" w:hint="eastAsia"/>
                <w:sz w:val="36"/>
                <w:szCs w:val="36"/>
              </w:rPr>
              <w:t>5</w:t>
            </w:r>
          </w:p>
        </w:tc>
      </w:tr>
      <w:tr w:rsidR="005230F3" w14:paraId="77DB7518" w14:textId="77777777">
        <w:trPr>
          <w:trHeight w:hRule="exact" w:val="454"/>
          <w:jc w:val="center"/>
        </w:trPr>
        <w:tc>
          <w:tcPr>
            <w:tcW w:w="1020" w:type="dxa"/>
            <w:shd w:val="clear" w:color="auto" w:fill="F3F3F3"/>
            <w:vAlign w:val="center"/>
          </w:tcPr>
          <w:p w14:paraId="0CA71ED3" w14:textId="77777777" w:rsidR="005230F3" w:rsidRDefault="00233439">
            <w:pPr>
              <w:jc w:val="center"/>
              <w:rPr>
                <w:rFonts w:asciiTheme="minorEastAsia" w:hAnsiTheme="minorEastAsia"/>
                <w:sz w:val="36"/>
                <w:szCs w:val="36"/>
              </w:rPr>
            </w:pPr>
            <w:r>
              <w:rPr>
                <w:rFonts w:asciiTheme="minorEastAsia" w:hAnsiTheme="minorEastAsia" w:hint="eastAsia"/>
                <w:sz w:val="36"/>
                <w:szCs w:val="36"/>
              </w:rPr>
              <w:t>3</w:t>
            </w:r>
          </w:p>
        </w:tc>
        <w:tc>
          <w:tcPr>
            <w:tcW w:w="1710" w:type="dxa"/>
            <w:vAlign w:val="center"/>
          </w:tcPr>
          <w:p w14:paraId="36AC001C" w14:textId="77777777" w:rsidR="005230F3" w:rsidRDefault="00233439">
            <w:pPr>
              <w:jc w:val="center"/>
              <w:rPr>
                <w:rFonts w:asciiTheme="minorEastAsia" w:hAnsiTheme="minorEastAsia"/>
                <w:kern w:val="0"/>
                <w:sz w:val="36"/>
                <w:szCs w:val="36"/>
              </w:rPr>
            </w:pPr>
            <w:r>
              <w:rPr>
                <w:rFonts w:asciiTheme="minorEastAsia" w:hAnsiTheme="minorEastAsia" w:hint="eastAsia"/>
                <w:kern w:val="0"/>
                <w:sz w:val="36"/>
                <w:szCs w:val="36"/>
              </w:rPr>
              <w:t>SS</w:t>
            </w:r>
          </w:p>
        </w:tc>
        <w:tc>
          <w:tcPr>
            <w:tcW w:w="4936" w:type="dxa"/>
            <w:vAlign w:val="center"/>
          </w:tcPr>
          <w:p w14:paraId="5FFE2F13" w14:textId="77777777" w:rsidR="005230F3" w:rsidRDefault="00233439">
            <w:pPr>
              <w:jc w:val="center"/>
              <w:rPr>
                <w:rFonts w:asciiTheme="minorEastAsia" w:hAnsiTheme="minorEastAsia"/>
                <w:sz w:val="36"/>
                <w:szCs w:val="36"/>
              </w:rPr>
            </w:pPr>
            <w:r>
              <w:rPr>
                <w:rFonts w:asciiTheme="minorEastAsia" w:hAnsiTheme="minorEastAsia" w:hint="eastAsia"/>
                <w:bCs/>
                <w:sz w:val="36"/>
                <w:szCs w:val="36"/>
              </w:rPr>
              <w:t>10</w:t>
            </w:r>
          </w:p>
        </w:tc>
      </w:tr>
      <w:tr w:rsidR="005230F3" w14:paraId="176C94AB" w14:textId="77777777">
        <w:trPr>
          <w:trHeight w:hRule="exact" w:val="827"/>
          <w:jc w:val="center"/>
        </w:trPr>
        <w:tc>
          <w:tcPr>
            <w:tcW w:w="1020" w:type="dxa"/>
            <w:shd w:val="clear" w:color="auto" w:fill="F3F3F3"/>
            <w:vAlign w:val="center"/>
          </w:tcPr>
          <w:p w14:paraId="2AE5832B" w14:textId="77777777" w:rsidR="005230F3" w:rsidRDefault="00233439">
            <w:pPr>
              <w:jc w:val="center"/>
              <w:rPr>
                <w:rFonts w:asciiTheme="minorEastAsia" w:hAnsiTheme="minorEastAsia"/>
                <w:sz w:val="36"/>
                <w:szCs w:val="36"/>
              </w:rPr>
            </w:pPr>
            <w:r>
              <w:rPr>
                <w:rFonts w:asciiTheme="minorEastAsia" w:hAnsiTheme="minorEastAsia" w:hint="eastAsia"/>
                <w:sz w:val="36"/>
                <w:szCs w:val="36"/>
              </w:rPr>
              <w:t>4</w:t>
            </w:r>
          </w:p>
        </w:tc>
        <w:tc>
          <w:tcPr>
            <w:tcW w:w="1710" w:type="dxa"/>
            <w:vAlign w:val="center"/>
          </w:tcPr>
          <w:p w14:paraId="6E341476" w14:textId="77777777" w:rsidR="005230F3" w:rsidRDefault="00233439">
            <w:pPr>
              <w:jc w:val="center"/>
              <w:rPr>
                <w:rFonts w:asciiTheme="minorEastAsia" w:hAnsiTheme="minorEastAsia"/>
                <w:sz w:val="36"/>
                <w:szCs w:val="36"/>
              </w:rPr>
            </w:pPr>
            <w:r>
              <w:rPr>
                <w:rFonts w:asciiTheme="minorEastAsia" w:hAnsiTheme="minorEastAsia" w:hint="eastAsia"/>
                <w:sz w:val="36"/>
                <w:szCs w:val="36"/>
              </w:rPr>
              <w:t>PH</w:t>
            </w:r>
          </w:p>
        </w:tc>
        <w:tc>
          <w:tcPr>
            <w:tcW w:w="4936" w:type="dxa"/>
            <w:vAlign w:val="center"/>
          </w:tcPr>
          <w:p w14:paraId="76FF6231" w14:textId="77777777" w:rsidR="005230F3" w:rsidRDefault="00233439">
            <w:pPr>
              <w:spacing w:line="360" w:lineRule="auto"/>
              <w:jc w:val="center"/>
              <w:rPr>
                <w:rFonts w:asciiTheme="minorEastAsia" w:hAnsiTheme="minorEastAsia"/>
                <w:bCs/>
                <w:sz w:val="36"/>
                <w:szCs w:val="36"/>
              </w:rPr>
            </w:pPr>
            <w:r>
              <w:rPr>
                <w:rFonts w:asciiTheme="minorEastAsia" w:hAnsiTheme="minorEastAsia" w:hint="eastAsia"/>
                <w:bCs/>
                <w:sz w:val="36"/>
                <w:szCs w:val="36"/>
              </w:rPr>
              <w:t>6-9</w:t>
            </w:r>
          </w:p>
        </w:tc>
      </w:tr>
    </w:tbl>
    <w:p w14:paraId="617BBF99" w14:textId="77777777" w:rsidR="005230F3" w:rsidRDefault="005230F3">
      <w:pPr>
        <w:rPr>
          <w:rFonts w:asciiTheme="minorEastAsia" w:hAnsiTheme="minorEastAsia"/>
          <w:sz w:val="36"/>
          <w:szCs w:val="36"/>
        </w:rPr>
      </w:pPr>
    </w:p>
    <w:sectPr w:rsidR="005230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44BFD" w14:textId="77777777" w:rsidR="00233439" w:rsidRDefault="00233439"/>
  </w:endnote>
  <w:endnote w:type="continuationSeparator" w:id="0">
    <w:p w14:paraId="7B49DF71" w14:textId="77777777" w:rsidR="00233439" w:rsidRDefault="00233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9BCC6" w14:textId="77777777" w:rsidR="00233439" w:rsidRDefault="00233439"/>
  </w:footnote>
  <w:footnote w:type="continuationSeparator" w:id="0">
    <w:p w14:paraId="7A22A49F" w14:textId="77777777" w:rsidR="00233439" w:rsidRDefault="002334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2077F"/>
    <w:multiLevelType w:val="multilevel"/>
    <w:tmpl w:val="3892077F"/>
    <w:lvl w:ilvl="0">
      <w:start w:val="1"/>
      <w:numFmt w:val="decimal"/>
      <w:lvlText w:val="%1、"/>
      <w:lvlJc w:val="left"/>
      <w:pPr>
        <w:ind w:left="566" w:hanging="360"/>
      </w:pPr>
      <w:rPr>
        <w:rFonts w:hint="default"/>
      </w:rPr>
    </w:lvl>
    <w:lvl w:ilvl="1">
      <w:start w:val="1"/>
      <w:numFmt w:val="lowerLetter"/>
      <w:lvlText w:val="%2)"/>
      <w:lvlJc w:val="left"/>
      <w:pPr>
        <w:ind w:left="1046" w:hanging="420"/>
      </w:pPr>
    </w:lvl>
    <w:lvl w:ilvl="2">
      <w:start w:val="1"/>
      <w:numFmt w:val="lowerRoman"/>
      <w:lvlText w:val="%3."/>
      <w:lvlJc w:val="right"/>
      <w:pPr>
        <w:ind w:left="1466" w:hanging="420"/>
      </w:pPr>
    </w:lvl>
    <w:lvl w:ilvl="3">
      <w:start w:val="1"/>
      <w:numFmt w:val="decimal"/>
      <w:lvlText w:val="%4."/>
      <w:lvlJc w:val="left"/>
      <w:pPr>
        <w:ind w:left="1886" w:hanging="420"/>
      </w:pPr>
    </w:lvl>
    <w:lvl w:ilvl="4">
      <w:start w:val="1"/>
      <w:numFmt w:val="lowerLetter"/>
      <w:lvlText w:val="%5)"/>
      <w:lvlJc w:val="left"/>
      <w:pPr>
        <w:ind w:left="2306" w:hanging="420"/>
      </w:pPr>
    </w:lvl>
    <w:lvl w:ilvl="5">
      <w:start w:val="1"/>
      <w:numFmt w:val="lowerRoman"/>
      <w:lvlText w:val="%6."/>
      <w:lvlJc w:val="right"/>
      <w:pPr>
        <w:ind w:left="2726" w:hanging="420"/>
      </w:pPr>
    </w:lvl>
    <w:lvl w:ilvl="6">
      <w:start w:val="1"/>
      <w:numFmt w:val="decimal"/>
      <w:lvlText w:val="%7."/>
      <w:lvlJc w:val="left"/>
      <w:pPr>
        <w:ind w:left="3146" w:hanging="420"/>
      </w:pPr>
    </w:lvl>
    <w:lvl w:ilvl="7">
      <w:start w:val="1"/>
      <w:numFmt w:val="lowerLetter"/>
      <w:lvlText w:val="%8)"/>
      <w:lvlJc w:val="left"/>
      <w:pPr>
        <w:ind w:left="3566" w:hanging="420"/>
      </w:pPr>
    </w:lvl>
    <w:lvl w:ilvl="8">
      <w:start w:val="1"/>
      <w:numFmt w:val="lowerRoman"/>
      <w:lvlText w:val="%9."/>
      <w:lvlJc w:val="right"/>
      <w:pPr>
        <w:ind w:left="3986" w:hanging="420"/>
      </w:pPr>
    </w:lvl>
  </w:abstractNum>
  <w:abstractNum w:abstractNumId="1" w15:restartNumberingAfterBreak="0">
    <w:nsid w:val="473451A5"/>
    <w:multiLevelType w:val="multilevel"/>
    <w:tmpl w:val="473451A5"/>
    <w:lvl w:ilvl="0">
      <w:start w:val="1"/>
      <w:numFmt w:val="decimal"/>
      <w:lvlText w:val="%1、"/>
      <w:lvlJc w:val="left"/>
      <w:pPr>
        <w:ind w:left="566" w:hanging="360"/>
      </w:pPr>
      <w:rPr>
        <w:rFonts w:hint="default"/>
      </w:rPr>
    </w:lvl>
    <w:lvl w:ilvl="1">
      <w:start w:val="1"/>
      <w:numFmt w:val="lowerLetter"/>
      <w:lvlText w:val="%2)"/>
      <w:lvlJc w:val="left"/>
      <w:pPr>
        <w:ind w:left="1046" w:hanging="420"/>
      </w:pPr>
    </w:lvl>
    <w:lvl w:ilvl="2">
      <w:start w:val="1"/>
      <w:numFmt w:val="lowerRoman"/>
      <w:lvlText w:val="%3."/>
      <w:lvlJc w:val="right"/>
      <w:pPr>
        <w:ind w:left="1466" w:hanging="420"/>
      </w:pPr>
    </w:lvl>
    <w:lvl w:ilvl="3">
      <w:start w:val="1"/>
      <w:numFmt w:val="decimal"/>
      <w:lvlText w:val="%4."/>
      <w:lvlJc w:val="left"/>
      <w:pPr>
        <w:ind w:left="1886" w:hanging="420"/>
      </w:pPr>
    </w:lvl>
    <w:lvl w:ilvl="4">
      <w:start w:val="1"/>
      <w:numFmt w:val="lowerLetter"/>
      <w:lvlText w:val="%5)"/>
      <w:lvlJc w:val="left"/>
      <w:pPr>
        <w:ind w:left="2306" w:hanging="420"/>
      </w:pPr>
    </w:lvl>
    <w:lvl w:ilvl="5">
      <w:start w:val="1"/>
      <w:numFmt w:val="lowerRoman"/>
      <w:lvlText w:val="%6."/>
      <w:lvlJc w:val="right"/>
      <w:pPr>
        <w:ind w:left="2726" w:hanging="420"/>
      </w:pPr>
    </w:lvl>
    <w:lvl w:ilvl="6">
      <w:start w:val="1"/>
      <w:numFmt w:val="decimal"/>
      <w:lvlText w:val="%7."/>
      <w:lvlJc w:val="left"/>
      <w:pPr>
        <w:ind w:left="3146" w:hanging="420"/>
      </w:pPr>
    </w:lvl>
    <w:lvl w:ilvl="7">
      <w:start w:val="1"/>
      <w:numFmt w:val="lowerLetter"/>
      <w:lvlText w:val="%8)"/>
      <w:lvlJc w:val="left"/>
      <w:pPr>
        <w:ind w:left="3566" w:hanging="420"/>
      </w:pPr>
    </w:lvl>
    <w:lvl w:ilvl="8">
      <w:start w:val="1"/>
      <w:numFmt w:val="lowerRoman"/>
      <w:lvlText w:val="%9."/>
      <w:lvlJc w:val="right"/>
      <w:pPr>
        <w:ind w:left="3986" w:hanging="420"/>
      </w:pPr>
    </w:lvl>
  </w:abstractNum>
  <w:abstractNum w:abstractNumId="2" w15:restartNumberingAfterBreak="0">
    <w:nsid w:val="476412A0"/>
    <w:multiLevelType w:val="multilevel"/>
    <w:tmpl w:val="476412A0"/>
    <w:lvl w:ilvl="0">
      <w:start w:val="1"/>
      <w:numFmt w:val="japaneseCounting"/>
      <w:lvlText w:val="%1、"/>
      <w:lvlJc w:val="left"/>
      <w:pPr>
        <w:ind w:left="411" w:hanging="411"/>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DD52A9D"/>
    <w:multiLevelType w:val="multilevel"/>
    <w:tmpl w:val="4DD52A9D"/>
    <w:lvl w:ilvl="0">
      <w:start w:val="1"/>
      <w:numFmt w:val="decimal"/>
      <w:lvlText w:val="%1、"/>
      <w:lvlJc w:val="left"/>
      <w:pPr>
        <w:ind w:left="566" w:hanging="360"/>
      </w:pPr>
      <w:rPr>
        <w:rFonts w:hint="default"/>
      </w:rPr>
    </w:lvl>
    <w:lvl w:ilvl="1">
      <w:start w:val="1"/>
      <w:numFmt w:val="lowerLetter"/>
      <w:lvlText w:val="%2)"/>
      <w:lvlJc w:val="left"/>
      <w:pPr>
        <w:ind w:left="1046" w:hanging="420"/>
      </w:pPr>
    </w:lvl>
    <w:lvl w:ilvl="2">
      <w:start w:val="1"/>
      <w:numFmt w:val="lowerRoman"/>
      <w:lvlText w:val="%3."/>
      <w:lvlJc w:val="right"/>
      <w:pPr>
        <w:ind w:left="1466" w:hanging="420"/>
      </w:pPr>
    </w:lvl>
    <w:lvl w:ilvl="3">
      <w:start w:val="1"/>
      <w:numFmt w:val="decimal"/>
      <w:lvlText w:val="%4."/>
      <w:lvlJc w:val="left"/>
      <w:pPr>
        <w:ind w:left="1886" w:hanging="420"/>
      </w:pPr>
    </w:lvl>
    <w:lvl w:ilvl="4">
      <w:start w:val="1"/>
      <w:numFmt w:val="lowerLetter"/>
      <w:lvlText w:val="%5)"/>
      <w:lvlJc w:val="left"/>
      <w:pPr>
        <w:ind w:left="2306" w:hanging="420"/>
      </w:pPr>
    </w:lvl>
    <w:lvl w:ilvl="5">
      <w:start w:val="1"/>
      <w:numFmt w:val="lowerRoman"/>
      <w:lvlText w:val="%6."/>
      <w:lvlJc w:val="right"/>
      <w:pPr>
        <w:ind w:left="2726" w:hanging="420"/>
      </w:pPr>
    </w:lvl>
    <w:lvl w:ilvl="6">
      <w:start w:val="1"/>
      <w:numFmt w:val="decimal"/>
      <w:lvlText w:val="%7."/>
      <w:lvlJc w:val="left"/>
      <w:pPr>
        <w:ind w:left="3146" w:hanging="420"/>
      </w:pPr>
    </w:lvl>
    <w:lvl w:ilvl="7">
      <w:start w:val="1"/>
      <w:numFmt w:val="lowerLetter"/>
      <w:lvlText w:val="%8)"/>
      <w:lvlJc w:val="left"/>
      <w:pPr>
        <w:ind w:left="3566" w:hanging="420"/>
      </w:pPr>
    </w:lvl>
    <w:lvl w:ilvl="8">
      <w:start w:val="1"/>
      <w:numFmt w:val="lowerRoman"/>
      <w:lvlText w:val="%9."/>
      <w:lvlJc w:val="right"/>
      <w:pPr>
        <w:ind w:left="3986" w:hanging="420"/>
      </w:pPr>
    </w:lvl>
  </w:abstractNum>
  <w:abstractNum w:abstractNumId="4" w15:restartNumberingAfterBreak="0">
    <w:nsid w:val="62CA36A2"/>
    <w:multiLevelType w:val="multilevel"/>
    <w:tmpl w:val="62CA36A2"/>
    <w:lvl w:ilvl="0">
      <w:start w:val="1"/>
      <w:numFmt w:val="decimal"/>
      <w:lvlText w:val="%1、"/>
      <w:lvlJc w:val="left"/>
      <w:pPr>
        <w:ind w:left="566" w:hanging="360"/>
      </w:pPr>
      <w:rPr>
        <w:rFonts w:hint="default"/>
      </w:rPr>
    </w:lvl>
    <w:lvl w:ilvl="1">
      <w:start w:val="1"/>
      <w:numFmt w:val="lowerLetter"/>
      <w:lvlText w:val="%2)"/>
      <w:lvlJc w:val="left"/>
      <w:pPr>
        <w:ind w:left="1046" w:hanging="420"/>
      </w:pPr>
    </w:lvl>
    <w:lvl w:ilvl="2">
      <w:start w:val="1"/>
      <w:numFmt w:val="lowerRoman"/>
      <w:lvlText w:val="%3."/>
      <w:lvlJc w:val="right"/>
      <w:pPr>
        <w:ind w:left="1466" w:hanging="420"/>
      </w:pPr>
    </w:lvl>
    <w:lvl w:ilvl="3">
      <w:start w:val="1"/>
      <w:numFmt w:val="decimal"/>
      <w:lvlText w:val="%4."/>
      <w:lvlJc w:val="left"/>
      <w:pPr>
        <w:ind w:left="1886" w:hanging="420"/>
      </w:pPr>
    </w:lvl>
    <w:lvl w:ilvl="4">
      <w:start w:val="1"/>
      <w:numFmt w:val="lowerLetter"/>
      <w:lvlText w:val="%5)"/>
      <w:lvlJc w:val="left"/>
      <w:pPr>
        <w:ind w:left="2306" w:hanging="420"/>
      </w:pPr>
    </w:lvl>
    <w:lvl w:ilvl="5">
      <w:start w:val="1"/>
      <w:numFmt w:val="lowerRoman"/>
      <w:lvlText w:val="%6."/>
      <w:lvlJc w:val="right"/>
      <w:pPr>
        <w:ind w:left="2726" w:hanging="420"/>
      </w:pPr>
    </w:lvl>
    <w:lvl w:ilvl="6">
      <w:start w:val="1"/>
      <w:numFmt w:val="decimal"/>
      <w:lvlText w:val="%7."/>
      <w:lvlJc w:val="left"/>
      <w:pPr>
        <w:ind w:left="3146" w:hanging="420"/>
      </w:pPr>
    </w:lvl>
    <w:lvl w:ilvl="7">
      <w:start w:val="1"/>
      <w:numFmt w:val="lowerLetter"/>
      <w:lvlText w:val="%8)"/>
      <w:lvlJc w:val="left"/>
      <w:pPr>
        <w:ind w:left="3566" w:hanging="420"/>
      </w:pPr>
    </w:lvl>
    <w:lvl w:ilvl="8">
      <w:start w:val="1"/>
      <w:numFmt w:val="lowerRoman"/>
      <w:lvlText w:val="%9."/>
      <w:lvlJc w:val="right"/>
      <w:pPr>
        <w:ind w:left="3986" w:hanging="420"/>
      </w:pPr>
    </w:lvl>
  </w:abstractNum>
  <w:abstractNum w:abstractNumId="5" w15:restartNumberingAfterBreak="0">
    <w:nsid w:val="6F183DC4"/>
    <w:multiLevelType w:val="multilevel"/>
    <w:tmpl w:val="6F183DC4"/>
    <w:lvl w:ilvl="0">
      <w:start w:val="1"/>
      <w:numFmt w:val="decimal"/>
      <w:lvlText w:val="%1、"/>
      <w:lvlJc w:val="left"/>
      <w:pPr>
        <w:ind w:left="566" w:hanging="360"/>
      </w:pPr>
      <w:rPr>
        <w:rFonts w:hint="default"/>
      </w:rPr>
    </w:lvl>
    <w:lvl w:ilvl="1">
      <w:start w:val="1"/>
      <w:numFmt w:val="lowerLetter"/>
      <w:lvlText w:val="%2)"/>
      <w:lvlJc w:val="left"/>
      <w:pPr>
        <w:ind w:left="1046" w:hanging="420"/>
      </w:pPr>
    </w:lvl>
    <w:lvl w:ilvl="2">
      <w:start w:val="1"/>
      <w:numFmt w:val="lowerRoman"/>
      <w:lvlText w:val="%3."/>
      <w:lvlJc w:val="right"/>
      <w:pPr>
        <w:ind w:left="1466" w:hanging="420"/>
      </w:pPr>
    </w:lvl>
    <w:lvl w:ilvl="3">
      <w:start w:val="1"/>
      <w:numFmt w:val="decimal"/>
      <w:lvlText w:val="%4."/>
      <w:lvlJc w:val="left"/>
      <w:pPr>
        <w:ind w:left="1886" w:hanging="420"/>
      </w:pPr>
    </w:lvl>
    <w:lvl w:ilvl="4">
      <w:start w:val="1"/>
      <w:numFmt w:val="lowerLetter"/>
      <w:lvlText w:val="%5)"/>
      <w:lvlJc w:val="left"/>
      <w:pPr>
        <w:ind w:left="2306" w:hanging="420"/>
      </w:pPr>
    </w:lvl>
    <w:lvl w:ilvl="5">
      <w:start w:val="1"/>
      <w:numFmt w:val="lowerRoman"/>
      <w:lvlText w:val="%6."/>
      <w:lvlJc w:val="right"/>
      <w:pPr>
        <w:ind w:left="2726" w:hanging="420"/>
      </w:pPr>
    </w:lvl>
    <w:lvl w:ilvl="6">
      <w:start w:val="1"/>
      <w:numFmt w:val="decimal"/>
      <w:lvlText w:val="%7."/>
      <w:lvlJc w:val="left"/>
      <w:pPr>
        <w:ind w:left="3146" w:hanging="420"/>
      </w:pPr>
    </w:lvl>
    <w:lvl w:ilvl="7">
      <w:start w:val="1"/>
      <w:numFmt w:val="lowerLetter"/>
      <w:lvlText w:val="%8)"/>
      <w:lvlJc w:val="left"/>
      <w:pPr>
        <w:ind w:left="3566" w:hanging="420"/>
      </w:pPr>
    </w:lvl>
    <w:lvl w:ilvl="8">
      <w:start w:val="1"/>
      <w:numFmt w:val="lowerRoman"/>
      <w:lvlText w:val="%9."/>
      <w:lvlJc w:val="right"/>
      <w:pPr>
        <w:ind w:left="3986" w:hanging="420"/>
      </w:pPr>
    </w:lvl>
  </w:abstractNum>
  <w:abstractNum w:abstractNumId="6" w15:restartNumberingAfterBreak="0">
    <w:nsid w:val="7DED4F5E"/>
    <w:multiLevelType w:val="multilevel"/>
    <w:tmpl w:val="7DED4F5E"/>
    <w:lvl w:ilvl="0">
      <w:start w:val="1"/>
      <w:numFmt w:val="decimal"/>
      <w:lvlText w:val="%1、"/>
      <w:lvlJc w:val="left"/>
      <w:pPr>
        <w:ind w:left="566" w:hanging="360"/>
      </w:pPr>
      <w:rPr>
        <w:rFonts w:hint="default"/>
      </w:rPr>
    </w:lvl>
    <w:lvl w:ilvl="1">
      <w:start w:val="1"/>
      <w:numFmt w:val="lowerLetter"/>
      <w:lvlText w:val="%2)"/>
      <w:lvlJc w:val="left"/>
      <w:pPr>
        <w:ind w:left="1046" w:hanging="420"/>
      </w:pPr>
    </w:lvl>
    <w:lvl w:ilvl="2">
      <w:start w:val="1"/>
      <w:numFmt w:val="lowerRoman"/>
      <w:lvlText w:val="%3."/>
      <w:lvlJc w:val="right"/>
      <w:pPr>
        <w:ind w:left="1466" w:hanging="420"/>
      </w:pPr>
    </w:lvl>
    <w:lvl w:ilvl="3">
      <w:start w:val="1"/>
      <w:numFmt w:val="decimal"/>
      <w:lvlText w:val="%4."/>
      <w:lvlJc w:val="left"/>
      <w:pPr>
        <w:ind w:left="1886" w:hanging="420"/>
      </w:pPr>
    </w:lvl>
    <w:lvl w:ilvl="4">
      <w:start w:val="1"/>
      <w:numFmt w:val="lowerLetter"/>
      <w:lvlText w:val="%5)"/>
      <w:lvlJc w:val="left"/>
      <w:pPr>
        <w:ind w:left="2306" w:hanging="420"/>
      </w:pPr>
    </w:lvl>
    <w:lvl w:ilvl="5">
      <w:start w:val="1"/>
      <w:numFmt w:val="lowerRoman"/>
      <w:lvlText w:val="%6."/>
      <w:lvlJc w:val="right"/>
      <w:pPr>
        <w:ind w:left="2726" w:hanging="420"/>
      </w:pPr>
    </w:lvl>
    <w:lvl w:ilvl="6">
      <w:start w:val="1"/>
      <w:numFmt w:val="decimal"/>
      <w:lvlText w:val="%7."/>
      <w:lvlJc w:val="left"/>
      <w:pPr>
        <w:ind w:left="3146" w:hanging="420"/>
      </w:pPr>
    </w:lvl>
    <w:lvl w:ilvl="7">
      <w:start w:val="1"/>
      <w:numFmt w:val="lowerLetter"/>
      <w:lvlText w:val="%8)"/>
      <w:lvlJc w:val="left"/>
      <w:pPr>
        <w:ind w:left="3566" w:hanging="420"/>
      </w:pPr>
    </w:lvl>
    <w:lvl w:ilvl="8">
      <w:start w:val="1"/>
      <w:numFmt w:val="lowerRoman"/>
      <w:lvlText w:val="%9."/>
      <w:lvlJc w:val="right"/>
      <w:pPr>
        <w:ind w:left="3986" w:hanging="420"/>
      </w:p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zMjBjNGI1OTgxYTM2YTNkZGYzMDg3NWIzZWUzOWQifQ=="/>
  </w:docVars>
  <w:rsids>
    <w:rsidRoot w:val="00920E31"/>
    <w:rsid w:val="0015310D"/>
    <w:rsid w:val="00233439"/>
    <w:rsid w:val="005230F3"/>
    <w:rsid w:val="006447D8"/>
    <w:rsid w:val="00696F60"/>
    <w:rsid w:val="00920E31"/>
    <w:rsid w:val="00A47FD0"/>
    <w:rsid w:val="00C50B20"/>
    <w:rsid w:val="00D658A9"/>
    <w:rsid w:val="0A4D56E8"/>
    <w:rsid w:val="0E4872A5"/>
    <w:rsid w:val="166E7112"/>
    <w:rsid w:val="17614581"/>
    <w:rsid w:val="31D125D7"/>
    <w:rsid w:val="50D27FC3"/>
    <w:rsid w:val="5F661D01"/>
    <w:rsid w:val="6EBF4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DF4766-78BB-4A63-92D4-8A3A520D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spacing w:beforeLines="50" w:before="156" w:afterLines="50" w:after="156"/>
      <w:jc w:val="center"/>
      <w:outlineLvl w:val="0"/>
    </w:pPr>
    <w:rPr>
      <w:rFonts w:ascii="Times New Roman" w:eastAsia="宋体" w:hAnsi="Times New Roman" w:cs="Times New Roman"/>
      <w:b/>
      <w:bCs/>
      <w:sz w:val="32"/>
      <w:szCs w:val="2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beforeLines="50" w:before="156" w:line="400" w:lineRule="exact"/>
      <w:ind w:firstLineChars="206" w:firstLine="494"/>
    </w:pPr>
    <w:rPr>
      <w:rFonts w:ascii="Times New Roman" w:eastAsia="宋体" w:hAnsi="Times New Roman" w:cs="Times New Roman"/>
      <w:sz w:val="24"/>
      <w:szCs w:val="28"/>
    </w:rPr>
  </w:style>
  <w:style w:type="paragraph" w:styleId="a4">
    <w:name w:val="Date"/>
    <w:basedOn w:val="a"/>
    <w:next w:val="a"/>
    <w:link w:val="Char0"/>
    <w:uiPriority w:val="99"/>
    <w:semiHidden/>
    <w:unhideWhenUsed/>
    <w:pPr>
      <w:ind w:leftChars="2500" w:left="100"/>
    </w:pPr>
  </w:style>
  <w:style w:type="paragraph" w:styleId="a5">
    <w:name w:val="List Paragraph"/>
    <w:basedOn w:val="a"/>
    <w:uiPriority w:val="34"/>
    <w:qFormat/>
    <w:pPr>
      <w:ind w:firstLineChars="200" w:firstLine="420"/>
    </w:pPr>
  </w:style>
  <w:style w:type="character" w:customStyle="1" w:styleId="Char0">
    <w:name w:val="日期 Char"/>
    <w:basedOn w:val="a0"/>
    <w:link w:val="a4"/>
    <w:uiPriority w:val="99"/>
    <w:semiHidden/>
  </w:style>
  <w:style w:type="character" w:customStyle="1" w:styleId="1Char">
    <w:name w:val="标题 1 Char"/>
    <w:basedOn w:val="a0"/>
    <w:link w:val="1"/>
    <w:rPr>
      <w:rFonts w:ascii="Times New Roman" w:eastAsia="宋体" w:hAnsi="Times New Roman" w:cs="Times New Roman"/>
      <w:b/>
      <w:bCs/>
      <w:sz w:val="32"/>
      <w:szCs w:val="2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Char">
    <w:name w:val="正文文本缩进 Char"/>
    <w:basedOn w:val="a0"/>
    <w:link w:val="a3"/>
    <w:qFormat/>
    <w:rPr>
      <w:rFonts w:ascii="Times New Roman" w:eastAsia="宋体" w:hAnsi="Times New Roman" w:cs="Times New Roman"/>
      <w:sz w:val="24"/>
      <w:szCs w:val="28"/>
    </w:rPr>
  </w:style>
  <w:style w:type="paragraph" w:customStyle="1" w:styleId="CharCharCharChar">
    <w:name w:val="Char Char Char Char"/>
    <w:basedOn w:val="a"/>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Words>
  <Characters>966</Characters>
  <Application>Microsoft Office Word</Application>
  <DocSecurity>0</DocSecurity>
  <Lines>8</Lines>
  <Paragraphs>2</Paragraphs>
  <ScaleCrop>false</ScaleCrop>
  <Company>Organization</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dcterms:created xsi:type="dcterms:W3CDTF">2024-09-05T08:39:00Z</dcterms:created>
  <dcterms:modified xsi:type="dcterms:W3CDTF">2024-09-05T08:39:00Z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E4661CAA7A8E46C8B263B200182B6548_12</vt:lpwstr>
  </property>
</Properties>
</file>